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8E4" w:rsidRPr="008A48E4" w:rsidRDefault="008A48E4" w:rsidP="008A48E4">
      <w:pPr>
        <w:shd w:val="clear" w:color="auto" w:fill="FFFFFF"/>
        <w:spacing w:before="100" w:after="100" w:line="240" w:lineRule="auto"/>
        <w:jc w:val="center"/>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48"/>
          <w:szCs w:val="48"/>
          <w:lang w:eastAsia="ru-RU"/>
        </w:rPr>
        <w:t>Памятка для родителей по профилактике туберкулеза</w:t>
      </w:r>
    </w:p>
    <w:p w:rsidR="008A48E4" w:rsidRPr="008A48E4" w:rsidRDefault="008A48E4" w:rsidP="008A48E4">
      <w:pPr>
        <w:shd w:val="clear" w:color="auto" w:fill="FFFFFF"/>
        <w:spacing w:line="240" w:lineRule="auto"/>
        <w:ind w:firstLine="567"/>
        <w:jc w:val="center"/>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CC"/>
          <w:sz w:val="36"/>
          <w:szCs w:val="36"/>
          <w:lang w:eastAsia="ru-RU"/>
        </w:rPr>
        <w:t>ТУБЕРКУЛЕЗ У ДЕТЕЙ И ПОДРОСТКОВ</w:t>
      </w:r>
    </w:p>
    <w:p w:rsidR="008A48E4" w:rsidRPr="008A48E4" w:rsidRDefault="008A48E4" w:rsidP="008A48E4">
      <w:pPr>
        <w:shd w:val="clear" w:color="auto" w:fill="FFFFFF"/>
        <w:spacing w:line="240" w:lineRule="auto"/>
        <w:ind w:firstLine="567"/>
        <w:jc w:val="both"/>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8"/>
          <w:szCs w:val="28"/>
          <w:lang w:eastAsia="ru-RU"/>
        </w:rPr>
        <w:t>Туберкулез</w:t>
      </w:r>
      <w:r w:rsidRPr="008A48E4">
        <w:rPr>
          <w:rFonts w:ascii="Times New Roman" w:eastAsia="Times New Roman" w:hAnsi="Times New Roman" w:cs="Times New Roman"/>
          <w:color w:val="000000"/>
          <w:sz w:val="28"/>
          <w:szCs w:val="28"/>
          <w:lang w:eastAsia="ru-RU"/>
        </w:rPr>
        <w:t> - хроническое инфекционное заболевание, вызываемое микобактериями туберкулеза человеческого или, реже, бычьего вида (последние передаются через молоко и молочные продукты), поражающими в большей мере органы дыхания, а также все органы и системы организма.</w:t>
      </w:r>
    </w:p>
    <w:p w:rsidR="008A48E4" w:rsidRPr="008A48E4" w:rsidRDefault="008A48E4" w:rsidP="008A48E4">
      <w:pPr>
        <w:shd w:val="clear" w:color="auto" w:fill="FFFFFF"/>
        <w:spacing w:line="240" w:lineRule="auto"/>
        <w:ind w:firstLine="567"/>
        <w:jc w:val="both"/>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8"/>
          <w:szCs w:val="28"/>
          <w:lang w:eastAsia="ru-RU"/>
        </w:rPr>
        <w:t>Источником инфекции</w:t>
      </w:r>
      <w:r w:rsidRPr="008A48E4">
        <w:rPr>
          <w:rFonts w:ascii="Times New Roman" w:eastAsia="Times New Roman" w:hAnsi="Times New Roman" w:cs="Times New Roman"/>
          <w:color w:val="000000"/>
          <w:sz w:val="28"/>
          <w:szCs w:val="28"/>
          <w:lang w:eastAsia="ru-RU"/>
        </w:rPr>
        <w:t>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8A48E4" w:rsidRPr="008A48E4" w:rsidRDefault="008A48E4" w:rsidP="008A48E4">
      <w:pPr>
        <w:shd w:val="clear" w:color="auto" w:fill="FFFFFF"/>
        <w:spacing w:line="240" w:lineRule="auto"/>
        <w:ind w:firstLine="567"/>
        <w:jc w:val="both"/>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8A48E4">
        <w:rPr>
          <w:rFonts w:ascii="Times New Roman" w:eastAsia="Times New Roman" w:hAnsi="Times New Roman" w:cs="Times New Roman"/>
          <w:color w:val="000000"/>
          <w:sz w:val="28"/>
          <w:szCs w:val="28"/>
          <w:vertAlign w:val="superscript"/>
          <w:lang w:eastAsia="ru-RU"/>
        </w:rPr>
        <w:t>о</w:t>
      </w:r>
      <w:r w:rsidRPr="008A48E4">
        <w:rPr>
          <w:rFonts w:ascii="Times New Roman" w:eastAsia="Times New Roman" w:hAnsi="Times New Roman" w:cs="Times New Roman"/>
          <w:color w:val="000000"/>
          <w:sz w:val="28"/>
          <w:szCs w:val="28"/>
          <w:lang w:eastAsia="ru-RU"/>
        </w:rPr>
        <w:t>,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8A48E4" w:rsidRPr="008A48E4" w:rsidRDefault="008A48E4" w:rsidP="008A48E4">
      <w:pPr>
        <w:shd w:val="clear" w:color="auto" w:fill="FFFFFF"/>
        <w:spacing w:line="240" w:lineRule="auto"/>
        <w:ind w:firstLine="567"/>
        <w:jc w:val="both"/>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8"/>
          <w:szCs w:val="28"/>
          <w:lang w:eastAsia="ru-RU"/>
        </w:rPr>
        <w:t>Для диагностики</w:t>
      </w:r>
      <w:r w:rsidRPr="008A48E4">
        <w:rPr>
          <w:rFonts w:ascii="Times New Roman" w:eastAsia="Times New Roman" w:hAnsi="Times New Roman" w:cs="Times New Roman"/>
          <w:color w:val="000000"/>
          <w:sz w:val="28"/>
          <w:szCs w:val="28"/>
          <w:lang w:eastAsia="ru-RU"/>
        </w:rPr>
        <w:t> туберкулезной интоксикации важное значение имеет определение инфицированности с помощью </w:t>
      </w:r>
      <w:r w:rsidRPr="008A48E4">
        <w:rPr>
          <w:rFonts w:ascii="Times New Roman" w:eastAsia="Times New Roman" w:hAnsi="Times New Roman" w:cs="Times New Roman"/>
          <w:b/>
          <w:bCs/>
          <w:color w:val="000000"/>
          <w:sz w:val="28"/>
          <w:szCs w:val="28"/>
          <w:lang w:eastAsia="ru-RU"/>
        </w:rPr>
        <w:t>туберкулиновых проб</w:t>
      </w:r>
      <w:r w:rsidRPr="008A48E4">
        <w:rPr>
          <w:rFonts w:ascii="Times New Roman" w:eastAsia="Times New Roman" w:hAnsi="Times New Roman" w:cs="Times New Roman"/>
          <w:color w:val="000000"/>
          <w:sz w:val="28"/>
          <w:szCs w:val="28"/>
          <w:lang w:eastAsia="ru-RU"/>
        </w:rPr>
        <w:t>, а для детей с 12 лет - ещё и с помощью </w:t>
      </w:r>
      <w:r w:rsidRPr="008A48E4">
        <w:rPr>
          <w:rFonts w:ascii="Times New Roman" w:eastAsia="Times New Roman" w:hAnsi="Times New Roman" w:cs="Times New Roman"/>
          <w:b/>
          <w:bCs/>
          <w:color w:val="000000"/>
          <w:sz w:val="28"/>
          <w:szCs w:val="28"/>
          <w:lang w:eastAsia="ru-RU"/>
        </w:rPr>
        <w:t>флюорографии.</w:t>
      </w:r>
    </w:p>
    <w:p w:rsidR="008A48E4" w:rsidRPr="008A48E4" w:rsidRDefault="008A48E4" w:rsidP="008A48E4">
      <w:pPr>
        <w:shd w:val="clear" w:color="auto" w:fill="FFFFFF"/>
        <w:spacing w:line="240" w:lineRule="auto"/>
        <w:ind w:firstLine="567"/>
        <w:jc w:val="both"/>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8"/>
          <w:szCs w:val="28"/>
          <w:lang w:eastAsia="ru-RU"/>
        </w:rPr>
        <w:t>Для профилактики туберкулеза очень важно</w:t>
      </w:r>
      <w:r w:rsidRPr="008A48E4">
        <w:rPr>
          <w:rFonts w:ascii="Times New Roman" w:eastAsia="Times New Roman" w:hAnsi="Times New Roman" w:cs="Times New Roman"/>
          <w:color w:val="000000"/>
          <w:sz w:val="28"/>
          <w:szCs w:val="28"/>
          <w:lang w:eastAsia="ru-RU"/>
        </w:rPr>
        <w:t>: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8A48E4" w:rsidRPr="008A48E4" w:rsidRDefault="008A48E4" w:rsidP="008A48E4">
      <w:pPr>
        <w:shd w:val="clear" w:color="auto" w:fill="FFFFFF"/>
        <w:spacing w:line="240" w:lineRule="auto"/>
        <w:ind w:firstLine="567"/>
        <w:jc w:val="center"/>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CC"/>
          <w:sz w:val="32"/>
          <w:szCs w:val="32"/>
          <w:lang w:eastAsia="ru-RU"/>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8A48E4" w:rsidRPr="008A48E4" w:rsidRDefault="008A48E4" w:rsidP="008A48E4">
      <w:pPr>
        <w:spacing w:after="0" w:line="240" w:lineRule="auto"/>
        <w:rPr>
          <w:rFonts w:ascii="Times New Roman" w:eastAsia="Times New Roman" w:hAnsi="Times New Roman" w:cs="Times New Roman"/>
          <w:sz w:val="24"/>
          <w:szCs w:val="24"/>
          <w:lang w:eastAsia="ru-RU"/>
        </w:rPr>
      </w:pPr>
      <w:r w:rsidRPr="008A48E4">
        <w:rPr>
          <w:rFonts w:ascii="Arial" w:eastAsia="Times New Roman" w:hAnsi="Arial" w:cs="Arial"/>
          <w:color w:val="000000"/>
          <w:sz w:val="20"/>
          <w:szCs w:val="20"/>
          <w:lang w:eastAsia="ru-RU"/>
        </w:rPr>
        <w:br/>
      </w:r>
      <w:r w:rsidRPr="008A48E4">
        <w:rPr>
          <w:rFonts w:ascii="Arial" w:eastAsia="Times New Roman" w:hAnsi="Arial" w:cs="Arial"/>
          <w:color w:val="000000"/>
          <w:sz w:val="20"/>
          <w:szCs w:val="20"/>
          <w:lang w:eastAsia="ru-RU"/>
        </w:rPr>
        <w:br/>
      </w:r>
      <w:r w:rsidRPr="008A48E4">
        <w:rPr>
          <w:rFonts w:ascii="Arial" w:eastAsia="Times New Roman" w:hAnsi="Arial" w:cs="Arial"/>
          <w:color w:val="000000"/>
          <w:sz w:val="20"/>
          <w:szCs w:val="20"/>
          <w:lang w:eastAsia="ru-RU"/>
        </w:rPr>
        <w:br/>
      </w:r>
    </w:p>
    <w:p w:rsidR="008A48E4" w:rsidRPr="008A48E4" w:rsidRDefault="008A48E4" w:rsidP="008A48E4">
      <w:pPr>
        <w:shd w:val="clear" w:color="auto" w:fill="FFFFFF"/>
        <w:spacing w:line="240" w:lineRule="auto"/>
        <w:ind w:firstLine="567"/>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32"/>
          <w:szCs w:val="32"/>
          <w:lang w:eastAsia="ru-RU"/>
        </w:rPr>
        <w:lastRenderedPageBreak/>
        <w:t>На основании Санитарно-эпидемиологических правил СП 3.12.3114-13 «Профилактика туберкулеза» раздел 2</w:t>
      </w:r>
    </w:p>
    <w:p w:rsidR="008A48E4" w:rsidRPr="008A48E4" w:rsidRDefault="008A48E4" w:rsidP="008A48E4">
      <w:pPr>
        <w:shd w:val="clear" w:color="auto" w:fill="FFFFFF"/>
        <w:spacing w:line="240" w:lineRule="auto"/>
        <w:ind w:firstLine="567"/>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п. 5.6 В течение 6 дней с момента постановки Манту направляются на консультацию в противотуберкулезный диспансер по месту жительства следующие категории детей:</w:t>
      </w:r>
    </w:p>
    <w:p w:rsidR="008A48E4" w:rsidRPr="008A48E4" w:rsidRDefault="008A48E4" w:rsidP="008A48E4">
      <w:pPr>
        <w:numPr>
          <w:ilvl w:val="0"/>
          <w:numId w:val="1"/>
        </w:num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с впервые выявленной положительной реакцией (папула 5 мм и более), не связанной с предыдущей иммунизацией против туберкулеза;</w:t>
      </w:r>
    </w:p>
    <w:p w:rsidR="008A48E4" w:rsidRPr="008A48E4" w:rsidRDefault="008A48E4" w:rsidP="008A48E4">
      <w:pPr>
        <w:numPr>
          <w:ilvl w:val="0"/>
          <w:numId w:val="1"/>
        </w:num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с длительно сохраняющейся (4 года) реакцией (с инфильтратом 12 мм и более);</w:t>
      </w:r>
    </w:p>
    <w:p w:rsidR="008A48E4" w:rsidRPr="008A48E4" w:rsidRDefault="008A48E4" w:rsidP="008A48E4">
      <w:pPr>
        <w:numPr>
          <w:ilvl w:val="0"/>
          <w:numId w:val="1"/>
        </w:num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с нарастанием чувствительности к туберкулину у туберкулиноположительных детей – увеличение инфильтрата на 6 мм и более;</w:t>
      </w:r>
    </w:p>
    <w:p w:rsidR="008A48E4" w:rsidRPr="008A48E4" w:rsidRDefault="008A48E4" w:rsidP="008A48E4">
      <w:pPr>
        <w:numPr>
          <w:ilvl w:val="0"/>
          <w:numId w:val="1"/>
        </w:num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с гиперреакцией на туберкулин – инфильтрат 17 мм и более;</w:t>
      </w:r>
    </w:p>
    <w:p w:rsidR="008A48E4" w:rsidRPr="008A48E4" w:rsidRDefault="008A48E4" w:rsidP="008A48E4">
      <w:pPr>
        <w:numPr>
          <w:ilvl w:val="0"/>
          <w:numId w:val="1"/>
        </w:num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при везикуло-некротической реакции и лимфангите.</w:t>
      </w:r>
    </w:p>
    <w:p w:rsidR="008A48E4" w:rsidRPr="008A48E4" w:rsidRDefault="008A48E4" w:rsidP="008A48E4">
      <w:pPr>
        <w:spacing w:after="0" w:line="240" w:lineRule="auto"/>
        <w:rPr>
          <w:rFonts w:ascii="Times New Roman" w:eastAsia="Times New Roman" w:hAnsi="Times New Roman" w:cs="Times New Roman"/>
          <w:sz w:val="24"/>
          <w:szCs w:val="24"/>
          <w:lang w:eastAsia="ru-RU"/>
        </w:rPr>
      </w:pPr>
      <w:r w:rsidRPr="008A48E4">
        <w:rPr>
          <w:rFonts w:ascii="Arial" w:eastAsia="Times New Roman" w:hAnsi="Arial" w:cs="Arial"/>
          <w:color w:val="000000"/>
          <w:sz w:val="20"/>
          <w:szCs w:val="20"/>
          <w:lang w:eastAsia="ru-RU"/>
        </w:rPr>
        <w:br/>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8"/>
          <w:szCs w:val="28"/>
          <w:lang w:eastAsia="ru-RU"/>
        </w:rPr>
        <w:t>п. 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w:t>
      </w:r>
      <w:r w:rsidRPr="008A48E4">
        <w:rPr>
          <w:rFonts w:ascii="Times New Roman" w:eastAsia="Times New Roman" w:hAnsi="Times New Roman" w:cs="Times New Roman"/>
          <w:b/>
          <w:bCs/>
          <w:color w:val="FF0000"/>
          <w:sz w:val="28"/>
          <w:szCs w:val="28"/>
          <w:lang w:eastAsia="ru-RU"/>
        </w:rPr>
        <w:t>, не допускаются в детские организации.</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8"/>
          <w:szCs w:val="28"/>
          <w:lang w:eastAsia="ru-RU"/>
        </w:rPr>
        <w:t>Дети, туберкулинодиагностика которым не проводилась,</w:t>
      </w:r>
      <w:r w:rsidRPr="008A48E4">
        <w:rPr>
          <w:rFonts w:ascii="Times New Roman" w:eastAsia="Times New Roman" w:hAnsi="Times New Roman" w:cs="Times New Roman"/>
          <w:b/>
          <w:bCs/>
          <w:color w:val="FF0000"/>
          <w:sz w:val="28"/>
          <w:szCs w:val="28"/>
          <w:lang w:eastAsia="ru-RU"/>
        </w:rPr>
        <w:t> допускаются </w:t>
      </w:r>
      <w:r w:rsidRPr="008A48E4">
        <w:rPr>
          <w:rFonts w:ascii="Times New Roman" w:eastAsia="Times New Roman" w:hAnsi="Times New Roman" w:cs="Times New Roman"/>
          <w:b/>
          <w:bCs/>
          <w:color w:val="000000"/>
          <w:sz w:val="28"/>
          <w:szCs w:val="28"/>
          <w:lang w:eastAsia="ru-RU"/>
        </w:rPr>
        <w:t>в детскую организацию</w:t>
      </w:r>
      <w:r w:rsidRPr="008A48E4">
        <w:rPr>
          <w:rFonts w:ascii="Times New Roman" w:eastAsia="Times New Roman" w:hAnsi="Times New Roman" w:cs="Times New Roman"/>
          <w:b/>
          <w:bCs/>
          <w:color w:val="FF0000"/>
          <w:sz w:val="28"/>
          <w:szCs w:val="28"/>
          <w:lang w:eastAsia="ru-RU"/>
        </w:rPr>
        <w:t> при наличии заключения врача-фтизиатра об отсутствии заболевания.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Профилактика туберкулеза у детей</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многоэтапно,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К сожалению, вакцина БЦЖ, введенная одноразово, уберечь ребенка от туберкулеза навсегда не в силе.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xml:space="preserve">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регулярных водных процедур, соблюдения правил гигиены. Подбор одежды по сезону и </w:t>
      </w:r>
      <w:r w:rsidRPr="008A48E4">
        <w:rPr>
          <w:rFonts w:ascii="Times New Roman" w:eastAsia="Times New Roman" w:hAnsi="Times New Roman" w:cs="Times New Roman"/>
          <w:color w:val="000000"/>
          <w:sz w:val="24"/>
          <w:szCs w:val="24"/>
          <w:lang w:eastAsia="ru-RU"/>
        </w:rPr>
        <w:lastRenderedPageBreak/>
        <w:t>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Что такое реакция Манту?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антительного иммунного ответа, при котором основную роль играют белки-антитела).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туберкулезной палочке.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индивидуальные характеристики чувствительности кожи; сбалансированность питания ребенка и пр. Выраженное воздействие на результаты массовой туберкулинодиагностики оказывают неблагоприятные экологические факторы: повышенный радиационный фон, наличие вредных выбросов химических производств и т.д.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Для чего нужна проба Манту?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lastRenderedPageBreak/>
        <w:t>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странах, где актуальность туберкулеза невелика, например, в США и Франции, проба Манту применяется довольно активно – для выявления инфицированных туберкулезом в группах высокого риска.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Проба Манту нужна для: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выявления первично-инфицированных, то есть тех, у кого впервые выявлен факт инфицирования туберкулезной палочкой;</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выявления инфицированных более одного года с гиперергическими реакциями на туберкулин;</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инфицированных более одного года с увеличением инфильтрата на 6 мм и более</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 отбора контингентов детей, подлежащих ревакцинации против туберкулеза.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Противопоказания к постановке пробы Манту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не содержит живых микроорганизмов, а в применяемой дозировке не влияет ни на иммунную систему организма, ни на весь организм в целом.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Противопоказаниями к проведению туберкулиновой пробы являются: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1. Кожные заболевания.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3. Аллергические состояния.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4. Эпилепсия.</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lastRenderedPageBreak/>
        <w:t>Если же проба Манту производится не до, а после проведения прививок, туберкулинодиагностика должна осуществляться не ранее, чем через 4 недели после проведенной прививки, а также введения иммуноглобулинов (сывороток).</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Таким образом, абсолютных противопоказаний для постановки туберкулиновой пробы практически нет.</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Как ставится проба Манту?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В соответствии с Приказом Минздрава РФ от 22.11.95 №324 в России проба Манту проводится 1 раз в год, начиная с возраста 12 месяцев, независимо от результатов предыдущей пробы.</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Специальным туберкулиновым шприцем внутрикожно вводится туберкулин.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b/>
          <w:bCs/>
          <w:color w:val="000000"/>
          <w:sz w:val="24"/>
          <w:szCs w:val="24"/>
          <w:lang w:eastAsia="ru-RU"/>
        </w:rPr>
        <w:t>Как ухаживать за «пуговкой»?</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Помните, что неправильный уход за местом введения туберкулина может повлиять на результат пробы, а это не нужно ни пациенту, ни врачу.</w:t>
      </w:r>
    </w:p>
    <w:p w:rsidR="008A48E4" w:rsidRPr="008A48E4" w:rsidRDefault="008A48E4" w:rsidP="008A48E4">
      <w:pPr>
        <w:shd w:val="clear" w:color="auto" w:fill="FFFFFF"/>
        <w:spacing w:line="240" w:lineRule="auto"/>
        <w:rPr>
          <w:rFonts w:ascii="Arial" w:eastAsia="Times New Roman" w:hAnsi="Arial" w:cs="Arial"/>
          <w:color w:val="000000"/>
          <w:sz w:val="20"/>
          <w:szCs w:val="20"/>
          <w:lang w:eastAsia="ru-RU"/>
        </w:rPr>
      </w:pPr>
      <w:r w:rsidRPr="008A48E4">
        <w:rPr>
          <w:rFonts w:ascii="Times New Roman" w:eastAsia="Times New Roman" w:hAnsi="Times New Roman" w:cs="Times New Roman"/>
          <w:color w:val="000000"/>
          <w:sz w:val="24"/>
          <w:szCs w:val="24"/>
          <w:lang w:eastAsia="ru-RU"/>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9A43E5" w:rsidRDefault="009A43E5"/>
    <w:sectPr w:rsidR="009A43E5" w:rsidSect="009A43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E2839"/>
    <w:multiLevelType w:val="multilevel"/>
    <w:tmpl w:val="AA9A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48E4"/>
    <w:rsid w:val="008A48E4"/>
    <w:rsid w:val="009A4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3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48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301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2018-05-18T08:27:00Z</dcterms:created>
  <dcterms:modified xsi:type="dcterms:W3CDTF">2018-05-18T08:34:00Z</dcterms:modified>
</cp:coreProperties>
</file>